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483C" w14:textId="4AD9EB6D" w:rsidR="008F1AD7" w:rsidRDefault="008F1AD7" w:rsidP="004C651E">
      <w:pPr>
        <w:spacing w:after="120" w:line="240" w:lineRule="auto"/>
        <w:jc w:val="center"/>
        <w:rPr>
          <w:rFonts w:asciiTheme="majorHAnsi" w:eastAsia="MS Mincho" w:hAnsiTheme="majorHAnsi" w:cs="Times New Roman"/>
          <w:sz w:val="36"/>
          <w:szCs w:val="28"/>
          <w:lang w:val="en-US"/>
        </w:rPr>
      </w:pPr>
      <w:r w:rsidRPr="00E74939">
        <w:rPr>
          <w:rFonts w:asciiTheme="majorHAnsi" w:eastAsia="MS Mincho" w:hAnsiTheme="majorHAnsi" w:cs="Times New Roman"/>
          <w:noProof/>
          <w:sz w:val="36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0572EC70" wp14:editId="49CEA99D">
            <wp:simplePos x="0" y="0"/>
            <wp:positionH relativeFrom="column">
              <wp:posOffset>3884829</wp:posOffset>
            </wp:positionH>
            <wp:positionV relativeFrom="paragraph">
              <wp:posOffset>148231</wp:posOffset>
            </wp:positionV>
            <wp:extent cx="1781175" cy="1336441"/>
            <wp:effectExtent l="0" t="0" r="0" b="0"/>
            <wp:wrapTight wrapText="bothSides">
              <wp:wrapPolygon edited="0">
                <wp:start x="0" y="0"/>
                <wp:lineTo x="0" y="21251"/>
                <wp:lineTo x="21253" y="21251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thon%20Kids%20Institute%20logo%20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6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20E0E" w14:textId="1622A9D4" w:rsidR="004C651E" w:rsidRPr="00E74939" w:rsidRDefault="004C651E" w:rsidP="004C651E">
      <w:pPr>
        <w:spacing w:after="120" w:line="240" w:lineRule="auto"/>
        <w:jc w:val="center"/>
        <w:rPr>
          <w:rFonts w:asciiTheme="majorHAnsi" w:eastAsia="MS Mincho" w:hAnsiTheme="majorHAnsi" w:cs="Times New Roman"/>
          <w:sz w:val="36"/>
          <w:szCs w:val="28"/>
          <w:lang w:val="en-US"/>
        </w:rPr>
      </w:pPr>
      <w:r w:rsidRPr="00E74939">
        <w:rPr>
          <w:rFonts w:asciiTheme="majorHAnsi" w:eastAsia="MS Mincho" w:hAnsiTheme="majorHAnsi" w:cs="Times New Roman"/>
          <w:sz w:val="36"/>
          <w:szCs w:val="28"/>
          <w:lang w:val="en-US"/>
        </w:rPr>
        <w:t xml:space="preserve">FASD Research Australia </w:t>
      </w:r>
    </w:p>
    <w:p w14:paraId="7071ED80" w14:textId="77777777" w:rsidR="004C651E" w:rsidRPr="00E74939" w:rsidRDefault="004C651E" w:rsidP="004C651E">
      <w:pPr>
        <w:spacing w:after="120" w:line="240" w:lineRule="auto"/>
        <w:jc w:val="center"/>
        <w:rPr>
          <w:rFonts w:asciiTheme="majorHAnsi" w:eastAsia="MS Mincho" w:hAnsiTheme="majorHAnsi" w:cs="Times New Roman"/>
          <w:sz w:val="36"/>
          <w:szCs w:val="28"/>
          <w:lang w:val="en-US"/>
        </w:rPr>
      </w:pPr>
      <w:r w:rsidRPr="00E74939">
        <w:rPr>
          <w:rFonts w:asciiTheme="majorHAnsi" w:eastAsia="MS Mincho" w:hAnsiTheme="majorHAnsi" w:cs="Times New Roman"/>
          <w:sz w:val="36"/>
          <w:szCs w:val="28"/>
          <w:lang w:val="en-US"/>
        </w:rPr>
        <w:t>Centre for Research Excellence</w:t>
      </w:r>
    </w:p>
    <w:p w14:paraId="5DB12D1A" w14:textId="77777777" w:rsidR="004C651E" w:rsidRPr="008F1AD7" w:rsidRDefault="004C651E" w:rsidP="004C651E">
      <w:pPr>
        <w:spacing w:after="0" w:line="240" w:lineRule="auto"/>
        <w:jc w:val="center"/>
        <w:rPr>
          <w:rFonts w:asciiTheme="majorHAnsi" w:eastAsia="MS Mincho" w:hAnsiTheme="majorHAnsi" w:cs="Times New Roman"/>
          <w:sz w:val="28"/>
          <w:szCs w:val="24"/>
          <w:lang w:val="en-US"/>
        </w:rPr>
      </w:pPr>
    </w:p>
    <w:p w14:paraId="711C23F8" w14:textId="77777777" w:rsidR="009B2171" w:rsidRPr="0097452C" w:rsidRDefault="009B2171" w:rsidP="009B2171">
      <w:pPr>
        <w:jc w:val="center"/>
        <w:rPr>
          <w:rFonts w:asciiTheme="majorHAnsi" w:eastAsia="Times New Roman" w:hAnsiTheme="majorHAnsi" w:cs="Arial"/>
          <w:b/>
          <w:sz w:val="28"/>
          <w:szCs w:val="23"/>
          <w:lang w:eastAsia="en-AU"/>
        </w:rPr>
      </w:pPr>
      <w:r w:rsidRPr="0097452C">
        <w:rPr>
          <w:rFonts w:asciiTheme="majorHAnsi" w:eastAsia="Times New Roman" w:hAnsiTheme="majorHAnsi" w:cs="Arial"/>
          <w:b/>
          <w:sz w:val="28"/>
          <w:szCs w:val="23"/>
          <w:lang w:eastAsia="en-AU"/>
        </w:rPr>
        <w:t xml:space="preserve">POST-GRADUATE </w:t>
      </w:r>
      <w:r w:rsidR="00E74939">
        <w:rPr>
          <w:rFonts w:asciiTheme="majorHAnsi" w:eastAsia="Times New Roman" w:hAnsiTheme="majorHAnsi" w:cs="Arial"/>
          <w:b/>
          <w:sz w:val="28"/>
          <w:szCs w:val="23"/>
          <w:lang w:eastAsia="en-AU"/>
        </w:rPr>
        <w:t xml:space="preserve">PhD </w:t>
      </w:r>
      <w:r w:rsidRPr="0097452C">
        <w:rPr>
          <w:rFonts w:asciiTheme="majorHAnsi" w:eastAsia="Times New Roman" w:hAnsiTheme="majorHAnsi" w:cs="Arial"/>
          <w:b/>
          <w:sz w:val="28"/>
          <w:szCs w:val="23"/>
          <w:lang w:eastAsia="en-AU"/>
        </w:rPr>
        <w:t>SCHOLARSHIP GUID</w:t>
      </w:r>
      <w:r w:rsidR="00674CC2" w:rsidRPr="0097452C">
        <w:rPr>
          <w:rFonts w:asciiTheme="majorHAnsi" w:eastAsia="Times New Roman" w:hAnsiTheme="majorHAnsi" w:cs="Arial"/>
          <w:b/>
          <w:sz w:val="28"/>
          <w:szCs w:val="23"/>
          <w:lang w:eastAsia="en-AU"/>
        </w:rPr>
        <w:t>E</w:t>
      </w:r>
      <w:r w:rsidRPr="0097452C">
        <w:rPr>
          <w:rFonts w:asciiTheme="majorHAnsi" w:eastAsia="Times New Roman" w:hAnsiTheme="majorHAnsi" w:cs="Arial"/>
          <w:b/>
          <w:sz w:val="28"/>
          <w:szCs w:val="23"/>
          <w:lang w:eastAsia="en-AU"/>
        </w:rPr>
        <w:t>LINES</w:t>
      </w:r>
    </w:p>
    <w:p w14:paraId="5F9CE604" w14:textId="77777777" w:rsidR="004C651E" w:rsidRPr="004C651E" w:rsidRDefault="004C651E" w:rsidP="004C651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3"/>
          <w:szCs w:val="23"/>
          <w:lang w:eastAsia="en-AU"/>
        </w:rPr>
      </w:pPr>
    </w:p>
    <w:p w14:paraId="21310A49" w14:textId="77777777" w:rsidR="004C651E" w:rsidRPr="004C651E" w:rsidRDefault="004C651E" w:rsidP="004C651E">
      <w:pPr>
        <w:keepNext/>
        <w:keepLines/>
        <w:spacing w:before="240" w:after="0" w:line="240" w:lineRule="auto"/>
        <w:outlineLvl w:val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en-AU"/>
        </w:rPr>
      </w:pPr>
      <w:r w:rsidRPr="004C651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en-AU"/>
        </w:rPr>
        <w:t xml:space="preserve">Background </w:t>
      </w:r>
    </w:p>
    <w:p w14:paraId="71645C65" w14:textId="77777777" w:rsidR="009B2171" w:rsidRDefault="009B2171" w:rsidP="004C651E">
      <w:pPr>
        <w:spacing w:after="0" w:line="240" w:lineRule="auto"/>
        <w:rPr>
          <w:rFonts w:asciiTheme="majorHAnsi" w:eastAsia="Times New Roman" w:hAnsiTheme="majorHAnsi" w:cs="Arial"/>
          <w:sz w:val="24"/>
          <w:szCs w:val="23"/>
          <w:lang w:eastAsia="en-AU"/>
        </w:rPr>
      </w:pPr>
    </w:p>
    <w:p w14:paraId="323992A4" w14:textId="77777777" w:rsidR="004C651E" w:rsidRPr="004C651E" w:rsidRDefault="004C651E" w:rsidP="00960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The FASD Research Australia Centre of Research Excellence </w:t>
      </w:r>
      <w:r w:rsidR="00674CC2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(the Centre) </w:t>
      </w: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has been established by leaders in FASD research in Australia. Funded by the National Health and Medical Research Council for five years (2016-2020) the Centre aims to create new knowledge relating to </w:t>
      </w:r>
      <w:r w:rsidR="0097452C">
        <w:rPr>
          <w:rFonts w:asciiTheme="majorHAnsi" w:eastAsia="Times New Roman" w:hAnsiTheme="majorHAnsi" w:cs="Arial"/>
          <w:sz w:val="24"/>
          <w:szCs w:val="23"/>
          <w:lang w:eastAsia="en-AU"/>
        </w:rPr>
        <w:t>reducing alcohol use during pregnancy</w:t>
      </w: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 and </w:t>
      </w:r>
      <w:r w:rsidR="0097452C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evidenced-based FASD </w:t>
      </w: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>therapy while also building FASD-related research capacity in Australia.</w:t>
      </w:r>
    </w:p>
    <w:p w14:paraId="65BB7278" w14:textId="77777777" w:rsidR="004C651E" w:rsidRPr="004C651E" w:rsidRDefault="004C651E" w:rsidP="00960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</w:p>
    <w:p w14:paraId="63235E14" w14:textId="1D1B6CFC" w:rsidR="004C651E" w:rsidRPr="004910AF" w:rsidRDefault="004C651E" w:rsidP="00960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4910AF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The Centre is currently seeking highly motivated and qualified applicants for three PhD Scholarships to commence in 2017. </w:t>
      </w:r>
      <w:r w:rsidR="006F5F34" w:rsidRPr="004910AF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The scholarships will comprise a living allowance of $26, 000 per annum, in addition to a research/operating allowance of $3000. This allowance </w:t>
      </w:r>
      <w:r w:rsidR="00467D24" w:rsidRPr="004910AF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covers support to attend conferences and undertake relevant professional development. </w:t>
      </w:r>
    </w:p>
    <w:p w14:paraId="294DD29B" w14:textId="77777777" w:rsidR="00350C65" w:rsidRPr="004910AF" w:rsidRDefault="00350C65" w:rsidP="00960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</w:p>
    <w:p w14:paraId="29954533" w14:textId="33F77216" w:rsidR="00350C65" w:rsidRPr="004910AF" w:rsidRDefault="00350C65" w:rsidP="00960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4910AF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Applicants will be required to apply for enrolment </w:t>
      </w:r>
      <w:r w:rsidR="005C65CB" w:rsidRPr="004910AF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through an Australia university. The scholarship may be offered prior to this; however payment will not commence until candidature has been accepted. </w:t>
      </w:r>
    </w:p>
    <w:p w14:paraId="5EDD021A" w14:textId="77777777" w:rsidR="004C651E" w:rsidRPr="004910AF" w:rsidRDefault="004C651E" w:rsidP="004C651E">
      <w:pPr>
        <w:spacing w:after="0" w:line="240" w:lineRule="auto"/>
        <w:rPr>
          <w:rFonts w:asciiTheme="majorHAnsi" w:eastAsia="Times New Roman" w:hAnsiTheme="majorHAnsi" w:cs="Arial"/>
          <w:sz w:val="24"/>
          <w:szCs w:val="23"/>
          <w:lang w:eastAsia="en-AU"/>
        </w:rPr>
      </w:pPr>
    </w:p>
    <w:p w14:paraId="5FA67B4E" w14:textId="77777777" w:rsidR="004C651E" w:rsidRPr="004C651E" w:rsidRDefault="004C651E" w:rsidP="004C651E">
      <w:pPr>
        <w:keepNext/>
        <w:keepLines/>
        <w:spacing w:before="240" w:after="0" w:line="240" w:lineRule="auto"/>
        <w:outlineLvl w:val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en-AU"/>
        </w:rPr>
      </w:pPr>
      <w:r w:rsidRPr="004910AF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en-AU"/>
        </w:rPr>
        <w:t>Aims of the PhD Scholarships</w:t>
      </w:r>
      <w:r w:rsidRPr="004C651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en-AU"/>
        </w:rPr>
        <w:t xml:space="preserve"> </w:t>
      </w:r>
    </w:p>
    <w:p w14:paraId="10D553B4" w14:textId="77777777" w:rsidR="004C651E" w:rsidRPr="004C651E" w:rsidRDefault="004C651E" w:rsidP="004C651E">
      <w:pPr>
        <w:spacing w:after="0" w:line="240" w:lineRule="auto"/>
        <w:rPr>
          <w:rFonts w:asciiTheme="majorHAnsi" w:eastAsia="Times New Roman" w:hAnsiTheme="majorHAnsi" w:cs="Arial"/>
          <w:sz w:val="24"/>
          <w:szCs w:val="23"/>
          <w:lang w:eastAsia="en-AU"/>
        </w:rPr>
      </w:pPr>
    </w:p>
    <w:p w14:paraId="62F8D73D" w14:textId="77777777" w:rsidR="004C651E" w:rsidRPr="004C651E" w:rsidRDefault="004C651E" w:rsidP="00241A4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The overarching aim of the FASD Research Australia scholarship is to generate new research for the benefit of the future families wanting to have healthy children and </w:t>
      </w:r>
      <w:r w:rsidR="0032306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for </w:t>
      </w: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those children </w:t>
      </w:r>
      <w:r w:rsidR="0032306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and their families </w:t>
      </w: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living with FASD in Australia. The specific aims of the scholarship are to: </w:t>
      </w:r>
    </w:p>
    <w:p w14:paraId="7F66177F" w14:textId="77777777" w:rsidR="004C651E" w:rsidRPr="008F1AD7" w:rsidRDefault="004C651E" w:rsidP="00241A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8F1AD7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Increase the evidence base for FASD prevention and therapy </w:t>
      </w:r>
    </w:p>
    <w:p w14:paraId="0AA06943" w14:textId="77777777" w:rsidR="004C651E" w:rsidRPr="004C651E" w:rsidRDefault="004C651E" w:rsidP="00241A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Conduct research based on the priority themes identified by </w:t>
      </w:r>
      <w:r w:rsidR="00674CC2">
        <w:rPr>
          <w:rFonts w:asciiTheme="majorHAnsi" w:eastAsia="Times New Roman" w:hAnsiTheme="majorHAnsi" w:cs="Arial"/>
          <w:sz w:val="24"/>
          <w:szCs w:val="23"/>
          <w:lang w:eastAsia="en-AU"/>
        </w:rPr>
        <w:t>the Centre</w:t>
      </w: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 </w:t>
      </w:r>
    </w:p>
    <w:p w14:paraId="46F2E836" w14:textId="77777777" w:rsidR="004C651E" w:rsidRPr="004C651E" w:rsidRDefault="004C651E" w:rsidP="00241A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Build </w:t>
      </w:r>
      <w:r w:rsidR="00674CC2">
        <w:rPr>
          <w:rFonts w:asciiTheme="majorHAnsi" w:eastAsia="Times New Roman" w:hAnsiTheme="majorHAnsi" w:cs="Arial"/>
          <w:sz w:val="24"/>
          <w:szCs w:val="23"/>
          <w:lang w:eastAsia="en-AU"/>
        </w:rPr>
        <w:t xml:space="preserve">Australia’s </w:t>
      </w:r>
      <w:r w:rsidRPr="004C651E">
        <w:rPr>
          <w:rFonts w:asciiTheme="majorHAnsi" w:eastAsia="Times New Roman" w:hAnsiTheme="majorHAnsi" w:cs="Arial"/>
          <w:sz w:val="24"/>
          <w:szCs w:val="23"/>
          <w:lang w:eastAsia="en-AU"/>
        </w:rPr>
        <w:t>research capacity in the area of alcohol and pregnancy &amp; FASD</w:t>
      </w:r>
    </w:p>
    <w:p w14:paraId="6FC33449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/>
          <w:bCs/>
          <w:iCs/>
          <w:sz w:val="24"/>
        </w:rPr>
      </w:pPr>
    </w:p>
    <w:p w14:paraId="2EB9B81A" w14:textId="77777777" w:rsidR="004C651E" w:rsidRPr="004C651E" w:rsidRDefault="004C651E" w:rsidP="004C651E">
      <w:pPr>
        <w:keepNext/>
        <w:keepLines/>
        <w:spacing w:before="240" w:after="0" w:line="240" w:lineRule="auto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</w:rPr>
      </w:pPr>
      <w:r w:rsidRPr="004C651E">
        <w:rPr>
          <w:rFonts w:asciiTheme="majorHAnsi" w:hAnsiTheme="majorHAnsi" w:cstheme="majorBidi"/>
          <w:color w:val="2E74B5" w:themeColor="accent1" w:themeShade="BF"/>
          <w:sz w:val="32"/>
          <w:szCs w:val="32"/>
        </w:rPr>
        <w:t>Value and Duration of the PhD Scholarship</w:t>
      </w:r>
    </w:p>
    <w:p w14:paraId="25D8805C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/>
          <w:bCs/>
          <w:iCs/>
          <w:sz w:val="24"/>
        </w:rPr>
      </w:pPr>
    </w:p>
    <w:p w14:paraId="7DC104C3" w14:textId="77777777" w:rsidR="004C651E" w:rsidRPr="004C651E" w:rsidRDefault="004C651E" w:rsidP="00241A44">
      <w:pPr>
        <w:spacing w:after="0" w:line="240" w:lineRule="auto"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The value of the Scholarship increases annually in accordance with indexation. In 2017, the PhD Scholarship provides the following: </w:t>
      </w:r>
    </w:p>
    <w:p w14:paraId="1BF3AF8B" w14:textId="6D305236" w:rsidR="0068632D" w:rsidRDefault="0068632D" w:rsidP="00241A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>
        <w:rPr>
          <w:rFonts w:asciiTheme="majorHAnsi" w:hAnsiTheme="majorHAnsi" w:cs="Cambria,BoldItalic"/>
          <w:bCs/>
          <w:iCs/>
          <w:sz w:val="24"/>
        </w:rPr>
        <w:t>The opportunity to be supervised and/or mentored by one or more of the CRE Investigators</w:t>
      </w:r>
    </w:p>
    <w:p w14:paraId="70E0A7A5" w14:textId="77777777" w:rsidR="004C651E" w:rsidRPr="004C651E" w:rsidRDefault="004C651E" w:rsidP="00241A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A stipend of $26,800 per annum pro rata </w:t>
      </w:r>
    </w:p>
    <w:p w14:paraId="758C5A0D" w14:textId="77777777" w:rsidR="004C651E" w:rsidRPr="004C651E" w:rsidRDefault="004C651E" w:rsidP="00241A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>A training and education allowance of $3,000 per annum pro rata</w:t>
      </w:r>
    </w:p>
    <w:p w14:paraId="2467A155" w14:textId="599CA089" w:rsidR="004C651E" w:rsidRPr="004C651E" w:rsidRDefault="004C651E" w:rsidP="00241A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lastRenderedPageBreak/>
        <w:t xml:space="preserve">The standard duration of a research doctorate scholarships in the FASD Research Australia CRE is 3.5 years full-time. Candidates may apply for an extension </w:t>
      </w:r>
      <w:r w:rsidR="008F1AD7">
        <w:rPr>
          <w:rFonts w:asciiTheme="majorHAnsi" w:hAnsiTheme="majorHAnsi" w:cs="Cambria,BoldItalic"/>
          <w:bCs/>
          <w:iCs/>
          <w:sz w:val="24"/>
        </w:rPr>
        <w:t xml:space="preserve">in time only 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of up to six months subject to satisfactory progress and school approval. </w:t>
      </w:r>
    </w:p>
    <w:p w14:paraId="709A0912" w14:textId="2BF15832" w:rsidR="004C651E" w:rsidRPr="004C651E" w:rsidRDefault="004C651E" w:rsidP="004C651E">
      <w:pPr>
        <w:rPr>
          <w:rFonts w:asciiTheme="majorHAnsi" w:hAnsiTheme="majorHAnsi" w:cs="Cambria,BoldItalic"/>
          <w:bCs/>
          <w:iCs/>
        </w:rPr>
      </w:pPr>
    </w:p>
    <w:p w14:paraId="605AFC63" w14:textId="77777777" w:rsidR="004C651E" w:rsidRPr="004C651E" w:rsidRDefault="004C651E" w:rsidP="004C651E">
      <w:pPr>
        <w:keepNext/>
        <w:keepLines/>
        <w:spacing w:before="240" w:after="0" w:line="240" w:lineRule="auto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</w:rPr>
      </w:pPr>
      <w:r w:rsidRPr="004C651E">
        <w:rPr>
          <w:rFonts w:asciiTheme="majorHAnsi" w:hAnsiTheme="majorHAnsi" w:cstheme="majorBidi"/>
          <w:color w:val="2E74B5" w:themeColor="accent1" w:themeShade="BF"/>
          <w:sz w:val="32"/>
          <w:szCs w:val="32"/>
        </w:rPr>
        <w:t xml:space="preserve">Research Topics for the PhD Scholarships </w:t>
      </w:r>
    </w:p>
    <w:p w14:paraId="1D913DC1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/>
          <w:bCs/>
          <w:iCs/>
        </w:rPr>
      </w:pPr>
    </w:p>
    <w:p w14:paraId="67FADC25" w14:textId="5E1AC5B1" w:rsidR="004C651E" w:rsidRPr="004C651E" w:rsidRDefault="004C651E" w:rsidP="00241A44">
      <w:pPr>
        <w:spacing w:after="0" w:line="240" w:lineRule="auto"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The FASD Research Australia </w:t>
      </w:r>
      <w:r w:rsidR="00674CC2">
        <w:rPr>
          <w:rFonts w:asciiTheme="majorHAnsi" w:hAnsiTheme="majorHAnsi" w:cs="Cambria,BoldItalic"/>
          <w:bCs/>
          <w:iCs/>
          <w:sz w:val="24"/>
        </w:rPr>
        <w:t xml:space="preserve">CRE 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Scholarships will focus on national research about understanding the behaviour of community members in relation to drinking alcohol during pregnancy, evaluating the adoption of new </w:t>
      </w:r>
      <w:r w:rsidR="00E74939">
        <w:rPr>
          <w:rFonts w:asciiTheme="majorHAnsi" w:hAnsiTheme="majorHAnsi" w:cs="Cambria,BoldItalic"/>
          <w:bCs/>
          <w:iCs/>
          <w:sz w:val="24"/>
        </w:rPr>
        <w:t xml:space="preserve">technology </w:t>
      </w:r>
      <w:r w:rsidR="009657CD">
        <w:rPr>
          <w:rFonts w:asciiTheme="majorHAnsi" w:hAnsiTheme="majorHAnsi" w:cs="Cambria,BoldItalic"/>
          <w:bCs/>
          <w:iCs/>
          <w:sz w:val="24"/>
        </w:rPr>
        <w:t>and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 improving our understanding of effective interventions for children living with FASD and their families. The following focus areas have been identified as a priority for these three new scholarships. </w:t>
      </w:r>
      <w:r w:rsidR="008F1AD7">
        <w:rPr>
          <w:rFonts w:asciiTheme="majorHAnsi" w:hAnsiTheme="majorHAnsi" w:cs="Cambria,BoldItalic"/>
          <w:bCs/>
          <w:iCs/>
          <w:sz w:val="24"/>
        </w:rPr>
        <w:t>Scholarship applicants are encouraged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 to </w:t>
      </w:r>
      <w:r w:rsidR="008F1AD7">
        <w:rPr>
          <w:rFonts w:asciiTheme="majorHAnsi" w:hAnsiTheme="majorHAnsi" w:cs="Cambria,BoldItalic"/>
          <w:bCs/>
          <w:iCs/>
          <w:sz w:val="24"/>
        </w:rPr>
        <w:t xml:space="preserve">align their research topic with 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one of these focus areas: </w:t>
      </w:r>
    </w:p>
    <w:p w14:paraId="1DDC58C7" w14:textId="77777777" w:rsidR="004C651E" w:rsidRPr="004C651E" w:rsidRDefault="004C651E" w:rsidP="00241A44">
      <w:pPr>
        <w:spacing w:after="0" w:line="240" w:lineRule="auto"/>
        <w:jc w:val="both"/>
        <w:rPr>
          <w:rFonts w:asciiTheme="majorHAnsi" w:hAnsiTheme="majorHAnsi" w:cs="Cambria,BoldItalic"/>
          <w:bCs/>
          <w:iCs/>
          <w:sz w:val="24"/>
        </w:rPr>
      </w:pPr>
    </w:p>
    <w:p w14:paraId="29467BE6" w14:textId="77777777" w:rsidR="004C651E" w:rsidRPr="004C651E" w:rsidRDefault="004C651E" w:rsidP="00241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Health promotion in schools, specifically for alcohol use in pregnancy and FASD </w:t>
      </w:r>
    </w:p>
    <w:p w14:paraId="100BE37A" w14:textId="77777777" w:rsidR="004C651E" w:rsidRPr="004C651E" w:rsidRDefault="004C651E" w:rsidP="00241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Primary prevention to develop and test effective messaging </w:t>
      </w:r>
    </w:p>
    <w:p w14:paraId="33226649" w14:textId="481005A7" w:rsidR="004C651E" w:rsidRPr="004C651E" w:rsidRDefault="004C651E" w:rsidP="00241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Implementation Science: Evaluating changes to mandatory reporting </w:t>
      </w:r>
    </w:p>
    <w:p w14:paraId="49BAC361" w14:textId="77777777" w:rsidR="004C651E" w:rsidRPr="004C651E" w:rsidRDefault="004C651E" w:rsidP="00241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Automated screening using eye-tracking technology </w:t>
      </w:r>
    </w:p>
    <w:p w14:paraId="1CE6374F" w14:textId="77777777" w:rsidR="004C651E" w:rsidRPr="004C651E" w:rsidRDefault="004C651E" w:rsidP="00241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Best-practice referral and advice for at risk pregnancies </w:t>
      </w:r>
    </w:p>
    <w:p w14:paraId="2F1D2F0F" w14:textId="77777777" w:rsidR="00517E01" w:rsidRPr="004C651E" w:rsidRDefault="00517E01" w:rsidP="00241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>NDIS service access and navigation for families with a child with FASD</w:t>
      </w:r>
    </w:p>
    <w:p w14:paraId="0DA31164" w14:textId="77777777" w:rsidR="00517E01" w:rsidRPr="004C651E" w:rsidRDefault="00517E01" w:rsidP="00241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>
        <w:rPr>
          <w:rFonts w:asciiTheme="majorHAnsi" w:hAnsiTheme="majorHAnsi" w:cs="Cambria,BoldItalic"/>
          <w:bCs/>
          <w:iCs/>
          <w:sz w:val="24"/>
        </w:rPr>
        <w:t>Telehealth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 interventions: Developing </w:t>
      </w:r>
      <w:r>
        <w:rPr>
          <w:rFonts w:asciiTheme="majorHAnsi" w:hAnsiTheme="majorHAnsi" w:cs="Cambria,BoldItalic"/>
          <w:bCs/>
          <w:iCs/>
          <w:sz w:val="24"/>
        </w:rPr>
        <w:t>digital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 tools for children with FASD</w:t>
      </w:r>
      <w:r>
        <w:rPr>
          <w:rFonts w:asciiTheme="majorHAnsi" w:hAnsiTheme="majorHAnsi" w:cs="Cambria,BoldItalic"/>
          <w:bCs/>
          <w:iCs/>
          <w:sz w:val="24"/>
        </w:rPr>
        <w:t xml:space="preserve"> and/or their parents and caregivers</w:t>
      </w:r>
    </w:p>
    <w:p w14:paraId="43DEF2FC" w14:textId="77777777" w:rsidR="00517E01" w:rsidRPr="004C651E" w:rsidRDefault="00517E01" w:rsidP="00241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School-based interventions for children with FASD </w:t>
      </w:r>
    </w:p>
    <w:p w14:paraId="5B1C763A" w14:textId="77777777" w:rsidR="00517E01" w:rsidRPr="004C651E" w:rsidRDefault="00517E01" w:rsidP="00241A44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>Very early intervention for infants with high-risk prenatal alcohol exposure</w:t>
      </w:r>
    </w:p>
    <w:p w14:paraId="47F6BDFB" w14:textId="6DF07040" w:rsidR="004C651E" w:rsidRPr="004C651E" w:rsidRDefault="00517E01" w:rsidP="00241A44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Theme="majorHAnsi" w:eastAsia="Times New Roman" w:hAnsiTheme="majorHAnsi" w:cs="Arial"/>
          <w:sz w:val="24"/>
          <w:szCs w:val="23"/>
          <w:lang w:eastAsia="en-AU"/>
        </w:rPr>
      </w:pPr>
      <w:r w:rsidRPr="00943804">
        <w:rPr>
          <w:rFonts w:asciiTheme="majorHAnsi" w:eastAsia="Times New Roman" w:hAnsiTheme="majorHAnsi" w:cs="Arial"/>
          <w:sz w:val="24"/>
          <w:szCs w:val="23"/>
          <w:lang w:eastAsia="en-AU"/>
        </w:rPr>
        <w:t>Economic burden of FASD and/or economic evaluation of screening, diagnosis and support</w:t>
      </w:r>
    </w:p>
    <w:p w14:paraId="5FE32E7B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Cs/>
          <w:iCs/>
        </w:rPr>
      </w:pPr>
    </w:p>
    <w:p w14:paraId="297B1EE5" w14:textId="77777777" w:rsidR="004C651E" w:rsidRPr="004C651E" w:rsidRDefault="004C651E" w:rsidP="004C651E">
      <w:pPr>
        <w:keepNext/>
        <w:keepLines/>
        <w:spacing w:before="240" w:after="0" w:line="240" w:lineRule="auto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</w:rPr>
      </w:pPr>
      <w:r w:rsidRPr="004C651E">
        <w:rPr>
          <w:rFonts w:asciiTheme="majorHAnsi" w:hAnsiTheme="majorHAnsi" w:cstheme="majorBidi"/>
          <w:color w:val="2E74B5" w:themeColor="accent1" w:themeShade="BF"/>
          <w:sz w:val="32"/>
          <w:szCs w:val="32"/>
        </w:rPr>
        <w:t xml:space="preserve">Eligibility Criteria </w:t>
      </w:r>
    </w:p>
    <w:p w14:paraId="735CF47B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Cs/>
          <w:iCs/>
          <w:sz w:val="24"/>
        </w:rPr>
      </w:pPr>
    </w:p>
    <w:p w14:paraId="501C02DA" w14:textId="77777777" w:rsidR="004C651E" w:rsidRPr="004C651E" w:rsidRDefault="004C651E" w:rsidP="00241A44">
      <w:pPr>
        <w:spacing w:after="0" w:line="240" w:lineRule="auto"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To be eligible for this Scholarship you must: </w:t>
      </w:r>
    </w:p>
    <w:p w14:paraId="5DA63BE3" w14:textId="77777777" w:rsidR="004C651E" w:rsidRPr="004C651E" w:rsidRDefault="004C651E" w:rsidP="00241A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>Ordinarily have completed a bachelor degree with first class honours. If you do not have first class hono</w:t>
      </w:r>
      <w:r w:rsidR="0032306E">
        <w:rPr>
          <w:rFonts w:asciiTheme="majorHAnsi" w:hAnsiTheme="majorHAnsi" w:cs="Cambria,BoldItalic"/>
          <w:bCs/>
          <w:iCs/>
          <w:sz w:val="24"/>
        </w:rPr>
        <w:t>u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rs the Centre may determine that you have demonstrated an equivalent level of academic attainment. </w:t>
      </w:r>
    </w:p>
    <w:p w14:paraId="4D54535F" w14:textId="7F9020A5" w:rsidR="004C651E" w:rsidRPr="004C651E" w:rsidRDefault="008F1AD7" w:rsidP="00241A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>
        <w:rPr>
          <w:rFonts w:asciiTheme="majorHAnsi" w:hAnsiTheme="majorHAnsi" w:cs="Cambria,BoldItalic"/>
          <w:bCs/>
          <w:iCs/>
          <w:sz w:val="24"/>
        </w:rPr>
        <w:t>Apply</w:t>
      </w:r>
      <w:r w:rsidR="004C651E" w:rsidRPr="004C651E">
        <w:rPr>
          <w:rFonts w:asciiTheme="majorHAnsi" w:hAnsiTheme="majorHAnsi" w:cs="Cambria,BoldItalic"/>
          <w:bCs/>
          <w:iCs/>
          <w:sz w:val="24"/>
        </w:rPr>
        <w:t xml:space="preserve"> for a full-time postgraduate research program at an Australian University </w:t>
      </w:r>
    </w:p>
    <w:p w14:paraId="370F5089" w14:textId="350BE08B" w:rsidR="004C651E" w:rsidRPr="004D3725" w:rsidRDefault="008A1F6F" w:rsidP="00241A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D3725">
        <w:rPr>
          <w:rFonts w:asciiTheme="majorHAnsi" w:hAnsiTheme="majorHAnsi" w:cs="Cambria,BoldItalic"/>
          <w:bCs/>
          <w:iCs/>
          <w:sz w:val="24"/>
        </w:rPr>
        <w:t>Have or will apply for</w:t>
      </w:r>
      <w:r w:rsidR="00DD26C1" w:rsidRPr="004D3725">
        <w:rPr>
          <w:rFonts w:asciiTheme="majorHAnsi" w:hAnsiTheme="majorHAnsi" w:cs="Cambria,BoldItalic"/>
          <w:bCs/>
          <w:iCs/>
          <w:sz w:val="24"/>
        </w:rPr>
        <w:t xml:space="preserve"> enrolment </w:t>
      </w:r>
      <w:r w:rsidRPr="004D3725">
        <w:rPr>
          <w:rFonts w:asciiTheme="majorHAnsi" w:hAnsiTheme="majorHAnsi" w:cs="Cambria,BoldItalic"/>
          <w:bCs/>
          <w:iCs/>
          <w:sz w:val="24"/>
        </w:rPr>
        <w:t xml:space="preserve">for the Doctor of Philosophy. </w:t>
      </w:r>
    </w:p>
    <w:p w14:paraId="61915642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Cs/>
          <w:iCs/>
          <w:sz w:val="24"/>
        </w:rPr>
      </w:pPr>
    </w:p>
    <w:p w14:paraId="1FA70E8D" w14:textId="77777777" w:rsidR="004C651E" w:rsidRPr="004C651E" w:rsidRDefault="004C651E" w:rsidP="004C651E">
      <w:pPr>
        <w:keepNext/>
        <w:keepLines/>
        <w:spacing w:before="240" w:after="0" w:line="240" w:lineRule="auto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</w:rPr>
      </w:pPr>
      <w:r w:rsidRPr="004C651E">
        <w:rPr>
          <w:rFonts w:asciiTheme="majorHAnsi" w:hAnsiTheme="majorHAnsi" w:cstheme="majorBidi"/>
          <w:color w:val="2E74B5" w:themeColor="accent1" w:themeShade="BF"/>
          <w:sz w:val="32"/>
          <w:szCs w:val="32"/>
        </w:rPr>
        <w:t xml:space="preserve">Selection Criteria </w:t>
      </w:r>
      <w:bookmarkStart w:id="0" w:name="_GoBack"/>
      <w:bookmarkEnd w:id="0"/>
    </w:p>
    <w:p w14:paraId="66E5F244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Cs/>
          <w:iCs/>
          <w:sz w:val="24"/>
        </w:rPr>
      </w:pPr>
    </w:p>
    <w:p w14:paraId="1E8BF9A4" w14:textId="184DD709" w:rsidR="004C651E" w:rsidRPr="004C651E" w:rsidRDefault="004C651E" w:rsidP="00241A44">
      <w:pPr>
        <w:spacing w:after="0" w:line="240" w:lineRule="auto"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Candidates for the Scholarships will be </w:t>
      </w:r>
      <w:r w:rsidR="00FC5DCA">
        <w:rPr>
          <w:rFonts w:asciiTheme="majorHAnsi" w:hAnsiTheme="majorHAnsi" w:cs="Cambria,BoldItalic"/>
          <w:bCs/>
          <w:iCs/>
          <w:sz w:val="24"/>
        </w:rPr>
        <w:t>assessed</w:t>
      </w:r>
      <w:r w:rsidR="00FC5DCA" w:rsidRPr="004C651E">
        <w:rPr>
          <w:rFonts w:asciiTheme="majorHAnsi" w:hAnsiTheme="majorHAnsi" w:cs="Cambria,BoldItalic"/>
          <w:bCs/>
          <w:iCs/>
          <w:sz w:val="24"/>
        </w:rPr>
        <w:t xml:space="preserve"> </w:t>
      </w:r>
      <w:r w:rsidRPr="004C651E">
        <w:rPr>
          <w:rFonts w:asciiTheme="majorHAnsi" w:hAnsiTheme="majorHAnsi" w:cs="Cambria,BoldItalic"/>
          <w:bCs/>
          <w:iCs/>
          <w:sz w:val="24"/>
        </w:rPr>
        <w:t xml:space="preserve">by the FASD Research Australia CRE PhD Selection Committee according to the following criteria: </w:t>
      </w:r>
    </w:p>
    <w:p w14:paraId="7FE1A98F" w14:textId="21B4281F" w:rsidR="00FC5DCA" w:rsidRDefault="00FC5DCA" w:rsidP="00241A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The nomination of one or more of the FASD Research Australia CRE </w:t>
      </w:r>
      <w:r w:rsidR="00B3279B">
        <w:rPr>
          <w:rFonts w:asciiTheme="majorHAnsi" w:hAnsiTheme="majorHAnsi" w:cs="Cambria,BoldItalic"/>
          <w:bCs/>
          <w:iCs/>
          <w:sz w:val="24"/>
        </w:rPr>
        <w:t>T</w:t>
      </w:r>
      <w:r w:rsidR="008F1AD7">
        <w:rPr>
          <w:rFonts w:asciiTheme="majorHAnsi" w:hAnsiTheme="majorHAnsi" w:cs="Cambria,BoldItalic"/>
          <w:bCs/>
          <w:iCs/>
          <w:sz w:val="24"/>
        </w:rPr>
        <w:t xml:space="preserve">elethon </w:t>
      </w:r>
      <w:r w:rsidR="00B3279B">
        <w:rPr>
          <w:rFonts w:asciiTheme="majorHAnsi" w:hAnsiTheme="majorHAnsi" w:cs="Cambria,BoldItalic"/>
          <w:bCs/>
          <w:iCs/>
          <w:sz w:val="24"/>
        </w:rPr>
        <w:t>K</w:t>
      </w:r>
      <w:r w:rsidR="008F1AD7">
        <w:rPr>
          <w:rFonts w:asciiTheme="majorHAnsi" w:hAnsiTheme="majorHAnsi" w:cs="Cambria,BoldItalic"/>
          <w:bCs/>
          <w:iCs/>
          <w:sz w:val="24"/>
        </w:rPr>
        <w:t>ids Institute</w:t>
      </w:r>
      <w:r w:rsidR="00B3279B">
        <w:rPr>
          <w:rFonts w:asciiTheme="majorHAnsi" w:hAnsiTheme="majorHAnsi" w:cs="Cambria,BoldItalic"/>
          <w:bCs/>
          <w:iCs/>
          <w:sz w:val="24"/>
        </w:rPr>
        <w:t xml:space="preserve"> </w:t>
      </w:r>
      <w:r w:rsidRPr="004C651E">
        <w:rPr>
          <w:rFonts w:asciiTheme="majorHAnsi" w:hAnsiTheme="majorHAnsi" w:cs="Cambria,BoldItalic"/>
          <w:bCs/>
          <w:iCs/>
          <w:sz w:val="24"/>
        </w:rPr>
        <w:t>Post-Doctoral Researchers as a co-Supervisor</w:t>
      </w:r>
      <w:r>
        <w:rPr>
          <w:rFonts w:asciiTheme="majorHAnsi" w:hAnsiTheme="majorHAnsi" w:cs="Cambria,BoldItalic"/>
          <w:bCs/>
          <w:iCs/>
          <w:sz w:val="24"/>
        </w:rPr>
        <w:t xml:space="preserve"> (essential)</w:t>
      </w:r>
    </w:p>
    <w:p w14:paraId="7AF4C15F" w14:textId="77777777" w:rsidR="004C651E" w:rsidRPr="004C651E" w:rsidRDefault="004C651E" w:rsidP="00241A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 xml:space="preserve">Alignment of research proposal to the research topics identified for the Scholarship </w:t>
      </w:r>
    </w:p>
    <w:p w14:paraId="39AE2331" w14:textId="5E844C88" w:rsidR="005351F8" w:rsidRDefault="005351F8" w:rsidP="00241A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>
        <w:rPr>
          <w:rFonts w:asciiTheme="majorHAnsi" w:hAnsiTheme="majorHAnsi" w:cs="Cambria,BoldItalic"/>
          <w:bCs/>
          <w:iCs/>
          <w:sz w:val="24"/>
        </w:rPr>
        <w:t>Academic and professional performance as demonstrated by the candidate’s Academic transcripts and Curriculum Vitae</w:t>
      </w:r>
    </w:p>
    <w:p w14:paraId="0196F625" w14:textId="77777777" w:rsidR="004C651E" w:rsidRDefault="004C651E" w:rsidP="00241A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lastRenderedPageBreak/>
        <w:t xml:space="preserve">Ability to prioritise tasks and complete projects on time </w:t>
      </w:r>
    </w:p>
    <w:p w14:paraId="176D9D38" w14:textId="77777777" w:rsidR="004C651E" w:rsidRPr="004C651E" w:rsidRDefault="00674CC2" w:rsidP="00241A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hAnsiTheme="majorHAnsi" w:cs="Cambria,BoldItalic"/>
          <w:bCs/>
          <w:iCs/>
          <w:sz w:val="24"/>
        </w:rPr>
      </w:pPr>
      <w:r>
        <w:rPr>
          <w:rFonts w:asciiTheme="majorHAnsi" w:hAnsiTheme="majorHAnsi" w:cs="Cambria,BoldItalic"/>
          <w:bCs/>
          <w:iCs/>
          <w:sz w:val="24"/>
        </w:rPr>
        <w:t>Proficient communication skills and interpersonal working relations</w:t>
      </w:r>
    </w:p>
    <w:p w14:paraId="63353486" w14:textId="77777777" w:rsidR="004C651E" w:rsidRPr="00E74939" w:rsidRDefault="004C651E" w:rsidP="004C651E">
      <w:pPr>
        <w:spacing w:after="0" w:line="240" w:lineRule="auto"/>
        <w:rPr>
          <w:rFonts w:asciiTheme="majorHAnsi" w:hAnsiTheme="majorHAnsi" w:cs="Cambria,BoldItalic"/>
          <w:b/>
          <w:bCs/>
          <w:iCs/>
          <w:color w:val="FF0000"/>
          <w:sz w:val="24"/>
        </w:rPr>
      </w:pPr>
    </w:p>
    <w:p w14:paraId="56846130" w14:textId="77777777" w:rsidR="004C651E" w:rsidRPr="004C651E" w:rsidRDefault="004C651E" w:rsidP="004C651E">
      <w:pPr>
        <w:keepNext/>
        <w:keepLines/>
        <w:spacing w:before="240" w:after="0" w:line="240" w:lineRule="auto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</w:rPr>
      </w:pPr>
      <w:r w:rsidRPr="004C651E">
        <w:rPr>
          <w:rFonts w:asciiTheme="majorHAnsi" w:hAnsiTheme="majorHAnsi" w:cstheme="majorBidi"/>
          <w:color w:val="2E74B5" w:themeColor="accent1" w:themeShade="BF"/>
          <w:sz w:val="32"/>
          <w:szCs w:val="32"/>
        </w:rPr>
        <w:t xml:space="preserve">How to Apply </w:t>
      </w:r>
    </w:p>
    <w:p w14:paraId="2F91432F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Cs/>
          <w:iCs/>
        </w:rPr>
      </w:pPr>
    </w:p>
    <w:p w14:paraId="72CB2642" w14:textId="77777777" w:rsidR="004C651E" w:rsidRPr="004C651E" w:rsidRDefault="004C651E" w:rsidP="00241A44">
      <w:pPr>
        <w:spacing w:after="0" w:line="240" w:lineRule="auto"/>
        <w:jc w:val="both"/>
        <w:rPr>
          <w:rFonts w:asciiTheme="majorHAnsi" w:hAnsiTheme="majorHAnsi" w:cs="Cambria,BoldItalic"/>
          <w:bCs/>
          <w:iCs/>
          <w:sz w:val="24"/>
        </w:rPr>
      </w:pPr>
      <w:r w:rsidRPr="004C651E">
        <w:rPr>
          <w:rFonts w:asciiTheme="majorHAnsi" w:hAnsiTheme="majorHAnsi" w:cs="Cambria,BoldItalic"/>
          <w:bCs/>
          <w:iCs/>
          <w:sz w:val="24"/>
        </w:rPr>
        <w:t>The application and selection process for the Scholarships includes the following stages</w:t>
      </w:r>
    </w:p>
    <w:p w14:paraId="7687970D" w14:textId="77777777" w:rsidR="004C651E" w:rsidRPr="004C651E" w:rsidRDefault="004C651E" w:rsidP="00241A44">
      <w:pPr>
        <w:spacing w:after="0" w:line="240" w:lineRule="auto"/>
        <w:jc w:val="both"/>
        <w:rPr>
          <w:rFonts w:asciiTheme="majorHAnsi" w:hAnsiTheme="majorHAnsi" w:cs="Cambria,BoldItalic"/>
          <w:b/>
          <w:bCs/>
          <w:iCs/>
          <w:sz w:val="24"/>
        </w:rPr>
      </w:pPr>
    </w:p>
    <w:p w14:paraId="4ABACF46" w14:textId="77777777" w:rsidR="004C651E" w:rsidRPr="00674CC2" w:rsidRDefault="004C651E" w:rsidP="00241A44">
      <w:pPr>
        <w:spacing w:after="0" w:line="240" w:lineRule="auto"/>
        <w:ind w:left="709" w:hanging="709"/>
        <w:jc w:val="both"/>
        <w:rPr>
          <w:rFonts w:asciiTheme="majorHAnsi" w:hAnsiTheme="majorHAnsi" w:cs="Cambria,BoldItalic"/>
          <w:bCs/>
          <w:iCs/>
        </w:rPr>
      </w:pPr>
      <w:r w:rsidRPr="00674CC2">
        <w:rPr>
          <w:rFonts w:asciiTheme="majorHAnsi" w:hAnsiTheme="majorHAnsi" w:cs="Cambria,BoldItalic"/>
          <w:bCs/>
          <w:iCs/>
        </w:rPr>
        <w:t>Stage 1: Contact your host institution, primary supervisor and CRE Post-Doc supervisor to discuss the research topic</w:t>
      </w:r>
    </w:p>
    <w:p w14:paraId="7BAE8C83" w14:textId="483DCF4E" w:rsidR="004C651E" w:rsidRPr="00674CC2" w:rsidRDefault="004C651E" w:rsidP="00241A44">
      <w:pPr>
        <w:spacing w:after="0" w:line="240" w:lineRule="auto"/>
        <w:ind w:left="709" w:hanging="709"/>
        <w:jc w:val="both"/>
        <w:rPr>
          <w:rFonts w:asciiTheme="majorHAnsi" w:hAnsiTheme="majorHAnsi" w:cs="Cambria,BoldItalic"/>
          <w:bCs/>
          <w:iCs/>
        </w:rPr>
      </w:pPr>
      <w:r w:rsidRPr="00674CC2">
        <w:rPr>
          <w:rFonts w:asciiTheme="majorHAnsi" w:hAnsiTheme="majorHAnsi" w:cs="Cambria,BoldItalic"/>
          <w:bCs/>
          <w:iCs/>
        </w:rPr>
        <w:t xml:space="preserve">Stage 2: Complete the application form, submit with other required documents by </w:t>
      </w:r>
      <w:r w:rsidR="007A779C">
        <w:rPr>
          <w:rFonts w:asciiTheme="majorHAnsi" w:hAnsiTheme="majorHAnsi" w:cs="Cambria,BoldItalic"/>
          <w:bCs/>
          <w:iCs/>
        </w:rPr>
        <w:t>30</w:t>
      </w:r>
      <w:r w:rsidRPr="00674CC2">
        <w:rPr>
          <w:rFonts w:asciiTheme="majorHAnsi" w:hAnsiTheme="majorHAnsi" w:cs="Cambria,BoldItalic"/>
          <w:bCs/>
          <w:iCs/>
          <w:vertAlign w:val="superscript"/>
        </w:rPr>
        <w:t>th</w:t>
      </w:r>
      <w:r w:rsidRPr="00674CC2">
        <w:rPr>
          <w:rFonts w:asciiTheme="majorHAnsi" w:hAnsiTheme="majorHAnsi" w:cs="Cambria,BoldItalic"/>
          <w:bCs/>
          <w:iCs/>
        </w:rPr>
        <w:t xml:space="preserve"> June 2017</w:t>
      </w:r>
    </w:p>
    <w:p w14:paraId="725186DB" w14:textId="06E32935" w:rsidR="004C651E" w:rsidRPr="00674CC2" w:rsidRDefault="004C651E" w:rsidP="00241A44">
      <w:pPr>
        <w:spacing w:after="0" w:line="240" w:lineRule="auto"/>
        <w:ind w:left="709" w:hanging="709"/>
        <w:jc w:val="both"/>
        <w:rPr>
          <w:rFonts w:asciiTheme="majorHAnsi" w:hAnsiTheme="majorHAnsi" w:cs="Cambria,BoldItalic"/>
          <w:bCs/>
          <w:iCs/>
        </w:rPr>
      </w:pPr>
      <w:r w:rsidRPr="00674CC2">
        <w:rPr>
          <w:rFonts w:asciiTheme="majorHAnsi" w:hAnsiTheme="majorHAnsi" w:cs="Cambria,BoldItalic"/>
          <w:bCs/>
          <w:iCs/>
        </w:rPr>
        <w:t xml:space="preserve">Stage 2: Shortlisted applicants will be invited for interview in </w:t>
      </w:r>
      <w:r w:rsidR="007A779C">
        <w:rPr>
          <w:rFonts w:asciiTheme="majorHAnsi" w:hAnsiTheme="majorHAnsi" w:cs="Cambria,BoldItalic"/>
          <w:bCs/>
          <w:iCs/>
        </w:rPr>
        <w:t>mid July</w:t>
      </w:r>
      <w:r w:rsidRPr="00674CC2">
        <w:rPr>
          <w:rFonts w:asciiTheme="majorHAnsi" w:hAnsiTheme="majorHAnsi" w:cs="Cambria,BoldItalic"/>
          <w:bCs/>
          <w:iCs/>
        </w:rPr>
        <w:t xml:space="preserve"> 2017</w:t>
      </w:r>
    </w:p>
    <w:p w14:paraId="3CAF76C5" w14:textId="0BB74ED7" w:rsidR="004C651E" w:rsidRPr="00674CC2" w:rsidRDefault="004C651E" w:rsidP="00241A44">
      <w:pPr>
        <w:spacing w:after="0" w:line="240" w:lineRule="auto"/>
        <w:ind w:left="709" w:hanging="709"/>
        <w:jc w:val="both"/>
        <w:rPr>
          <w:rFonts w:asciiTheme="majorHAnsi" w:hAnsiTheme="majorHAnsi" w:cs="Cambria,BoldItalic"/>
          <w:bCs/>
          <w:iCs/>
        </w:rPr>
      </w:pPr>
      <w:r w:rsidRPr="00674CC2">
        <w:rPr>
          <w:rFonts w:asciiTheme="majorHAnsi" w:hAnsiTheme="majorHAnsi" w:cs="Cambria,BoldItalic"/>
          <w:bCs/>
          <w:iCs/>
        </w:rPr>
        <w:t xml:space="preserve">Stage 3: Offer to the successful candidates will be made by </w:t>
      </w:r>
      <w:r w:rsidR="007A779C">
        <w:rPr>
          <w:rFonts w:asciiTheme="majorHAnsi" w:hAnsiTheme="majorHAnsi" w:cs="Cambria,BoldItalic"/>
          <w:bCs/>
          <w:iCs/>
        </w:rPr>
        <w:t>late</w:t>
      </w:r>
      <w:r w:rsidRPr="00674CC2">
        <w:rPr>
          <w:rFonts w:asciiTheme="majorHAnsi" w:hAnsiTheme="majorHAnsi" w:cs="Cambria,BoldItalic"/>
          <w:bCs/>
          <w:iCs/>
        </w:rPr>
        <w:t>-July 2017</w:t>
      </w:r>
    </w:p>
    <w:p w14:paraId="326C3D1B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/>
          <w:bCs/>
          <w:iCs/>
        </w:rPr>
      </w:pPr>
    </w:p>
    <w:p w14:paraId="7D7110F8" w14:textId="77777777" w:rsidR="004C651E" w:rsidRPr="004C651E" w:rsidRDefault="004C651E" w:rsidP="004C651E">
      <w:pPr>
        <w:keepNext/>
        <w:keepLines/>
        <w:spacing w:before="240" w:after="0" w:line="240" w:lineRule="auto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</w:rPr>
      </w:pPr>
      <w:r w:rsidRPr="004C651E">
        <w:rPr>
          <w:rFonts w:asciiTheme="majorHAnsi" w:hAnsiTheme="majorHAnsi" w:cstheme="majorBidi"/>
          <w:color w:val="2E74B5" w:themeColor="accent1" w:themeShade="BF"/>
          <w:sz w:val="32"/>
          <w:szCs w:val="32"/>
        </w:rPr>
        <w:t>More information</w:t>
      </w:r>
    </w:p>
    <w:p w14:paraId="75A4E3F7" w14:textId="77777777" w:rsidR="004C651E" w:rsidRDefault="004C651E" w:rsidP="004C651E">
      <w:pPr>
        <w:spacing w:after="0" w:line="240" w:lineRule="auto"/>
        <w:rPr>
          <w:rFonts w:asciiTheme="majorHAnsi" w:hAnsiTheme="majorHAnsi" w:cs="Cambria,BoldItalic"/>
          <w:b/>
          <w:bCs/>
          <w:iCs/>
        </w:rPr>
      </w:pPr>
    </w:p>
    <w:p w14:paraId="51CA6DE5" w14:textId="77777777" w:rsidR="009B2171" w:rsidRPr="009B2171" w:rsidRDefault="009B2171" w:rsidP="00241A44">
      <w:pPr>
        <w:spacing w:after="0" w:line="240" w:lineRule="auto"/>
        <w:jc w:val="both"/>
        <w:rPr>
          <w:rFonts w:asciiTheme="majorHAnsi" w:hAnsiTheme="majorHAnsi" w:cs="Cambria,BoldItalic"/>
          <w:bCs/>
          <w:iCs/>
        </w:rPr>
      </w:pPr>
      <w:r>
        <w:rPr>
          <w:rFonts w:asciiTheme="majorHAnsi" w:hAnsiTheme="majorHAnsi" w:cs="Cambria,BoldItalic"/>
          <w:bCs/>
          <w:iCs/>
        </w:rPr>
        <w:t>For more information on the process or contact details for CRE Investigators and Post-Doctoral Researchers please contact Program Manager Narelle Mullan:</w:t>
      </w:r>
    </w:p>
    <w:p w14:paraId="5DE6CB12" w14:textId="77777777" w:rsidR="009B2171" w:rsidRDefault="009B2171" w:rsidP="004C651E">
      <w:pPr>
        <w:spacing w:after="0" w:line="240" w:lineRule="auto"/>
        <w:rPr>
          <w:rFonts w:asciiTheme="majorHAnsi" w:hAnsiTheme="majorHAnsi" w:cs="Cambria,BoldItalic"/>
          <w:b/>
          <w:bCs/>
          <w:iCs/>
        </w:rPr>
      </w:pPr>
    </w:p>
    <w:p w14:paraId="7A096C6B" w14:textId="77777777" w:rsidR="009B2171" w:rsidRDefault="009B2171" w:rsidP="009B217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2171" w14:paraId="36B46471" w14:textId="77777777" w:rsidTr="009B217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49"/>
              <w:gridCol w:w="5471"/>
            </w:tblGrid>
            <w:tr w:rsidR="009B2171" w:rsidRPr="00674CC2" w14:paraId="045C9B6D" w14:textId="77777777" w:rsidTr="009B217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69140E0" w14:textId="77777777" w:rsidR="009B2171" w:rsidRPr="00674CC2" w:rsidRDefault="009B2171">
                  <w:pPr>
                    <w:rPr>
                      <w:rFonts w:asciiTheme="majorHAnsi" w:hAnsiTheme="majorHAnsi"/>
                      <w:szCs w:val="24"/>
                      <w:lang w:eastAsia="en-AU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tbl>
                  <w:tblPr>
                    <w:tblpPr w:leftFromText="180" w:rightFromText="180" w:vertAnchor="text" w:horzAnchor="margin" w:tblpY="-763"/>
                    <w:tblOverlap w:val="never"/>
                    <w:tblW w:w="354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3"/>
                    <w:gridCol w:w="6"/>
                  </w:tblGrid>
                  <w:tr w:rsidR="009B2171" w:rsidRPr="00674CC2" w14:paraId="26BF1034" w14:textId="77777777" w:rsidTr="00674CC2">
                    <w:trPr>
                      <w:tblCellSpacing w:w="0" w:type="dxa"/>
                    </w:trPr>
                    <w:tc>
                      <w:tcPr>
                        <w:tcW w:w="3544" w:type="dxa"/>
                        <w:vAlign w:val="center"/>
                        <w:hideMark/>
                      </w:tcPr>
                      <w:p w14:paraId="1D72C2E5" w14:textId="77777777" w:rsidR="009B2171" w:rsidRPr="00674CC2" w:rsidRDefault="009B2171" w:rsidP="009B2171">
                        <w:pPr>
                          <w:spacing w:after="0"/>
                          <w:rPr>
                            <w:rFonts w:asciiTheme="majorHAnsi" w:hAnsiTheme="majorHAnsi"/>
                            <w:szCs w:val="24"/>
                            <w:lang w:eastAsia="en-AU"/>
                          </w:rPr>
                        </w:pPr>
                        <w:r w:rsidRPr="00674CC2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Cs w:val="20"/>
                            <w:lang w:eastAsia="en-AU"/>
                          </w:rPr>
                          <w:t>Narelle</w:t>
                        </w:r>
                        <w:r w:rsidRPr="00674CC2">
                          <w:rPr>
                            <w:rFonts w:asciiTheme="majorHAnsi" w:hAnsiTheme="majorHAnsi"/>
                            <w:szCs w:val="24"/>
                            <w:lang w:eastAsia="en-AU"/>
                          </w:rPr>
                          <w:t> </w:t>
                        </w:r>
                        <w:r w:rsidRPr="00674CC2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Cs w:val="20"/>
                            <w:lang w:eastAsia="en-AU"/>
                          </w:rPr>
                          <w:t>Mullan</w:t>
                        </w:r>
                      </w:p>
                      <w:p w14:paraId="56AB85C9" w14:textId="77777777" w:rsidR="009B2171" w:rsidRPr="00674CC2" w:rsidRDefault="009B2171" w:rsidP="009B2171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Cs w:val="20"/>
                            <w:lang w:eastAsia="en-AU"/>
                          </w:rPr>
                        </w:pPr>
                        <w:r w:rsidRPr="00674CC2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Cs w:val="20"/>
                            <w:lang w:eastAsia="en-AU"/>
                          </w:rPr>
                          <w:t xml:space="preserve">Program Manager </w:t>
                        </w:r>
                      </w:p>
                      <w:p w14:paraId="0D384B83" w14:textId="77777777" w:rsidR="009B2171" w:rsidRPr="00674CC2" w:rsidRDefault="009B2171" w:rsidP="009B2171">
                        <w:pPr>
                          <w:spacing w:after="0"/>
                          <w:rPr>
                            <w:rFonts w:asciiTheme="majorHAnsi" w:hAnsiTheme="majorHAnsi"/>
                            <w:szCs w:val="24"/>
                            <w:lang w:eastAsia="en-AU"/>
                          </w:rPr>
                        </w:pPr>
                        <w:r w:rsidRPr="00674CC2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Cs w:val="20"/>
                            <w:lang w:eastAsia="en-AU"/>
                          </w:rPr>
                          <w:t>FASD Research Australia CRE</w:t>
                        </w:r>
                      </w:p>
                    </w:tc>
                    <w:tc>
                      <w:tcPr>
                        <w:tcW w:w="5" w:type="dxa"/>
                      </w:tcPr>
                      <w:p w14:paraId="43B58BC0" w14:textId="77777777" w:rsidR="009B2171" w:rsidRPr="00674CC2" w:rsidRDefault="009B2171" w:rsidP="009B2171">
                        <w:pPr>
                          <w:spacing w:before="100" w:beforeAutospacing="1" w:after="100" w:afterAutospacing="1"/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9B2171" w:rsidRPr="00674CC2" w14:paraId="3907A59E" w14:textId="77777777" w:rsidTr="00674CC2">
                    <w:trPr>
                      <w:tblCellSpacing w:w="0" w:type="dxa"/>
                    </w:trPr>
                    <w:tc>
                      <w:tcPr>
                        <w:tcW w:w="3544" w:type="dxa"/>
                        <w:vAlign w:val="center"/>
                        <w:hideMark/>
                      </w:tcPr>
                      <w:p w14:paraId="0ADD715D" w14:textId="77777777" w:rsidR="009B2171" w:rsidRPr="00674CC2" w:rsidRDefault="009B2171" w:rsidP="009B2171">
                        <w:pPr>
                          <w:rPr>
                            <w:rFonts w:asciiTheme="majorHAnsi" w:hAnsiTheme="majorHAnsi"/>
                            <w:szCs w:val="24"/>
                            <w:lang w:eastAsia="en-AU"/>
                          </w:rPr>
                        </w:pPr>
                        <w:proofErr w:type="spellStart"/>
                        <w:r w:rsidRPr="00674CC2">
                          <w:rPr>
                            <w:rFonts w:asciiTheme="majorHAnsi" w:hAnsiTheme="majorHAnsi"/>
                            <w:color w:val="000000"/>
                            <w:szCs w:val="20"/>
                            <w:lang w:eastAsia="en-AU"/>
                          </w:rPr>
                          <w:t>ph</w:t>
                        </w:r>
                        <w:proofErr w:type="spellEnd"/>
                        <w:r w:rsidRPr="00674CC2">
                          <w:rPr>
                            <w:rFonts w:asciiTheme="majorHAnsi" w:hAnsiTheme="majorHAnsi"/>
                            <w:color w:val="000000"/>
                            <w:szCs w:val="20"/>
                            <w:lang w:eastAsia="en-AU"/>
                          </w:rPr>
                          <w:t xml:space="preserve"> +61 8 9489 7619</w:t>
                        </w:r>
                        <w:r w:rsidRPr="00674CC2">
                          <w:rPr>
                            <w:rFonts w:asciiTheme="majorHAnsi" w:hAnsiTheme="majorHAnsi"/>
                            <w:color w:val="000000"/>
                            <w:szCs w:val="15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5" w:type="dxa"/>
                      </w:tcPr>
                      <w:p w14:paraId="6C52A16C" w14:textId="77777777" w:rsidR="009B2171" w:rsidRPr="00674CC2" w:rsidRDefault="009B2171" w:rsidP="009B2171">
                        <w:pPr>
                          <w:rPr>
                            <w:rFonts w:asciiTheme="majorHAnsi" w:hAnsiTheme="majorHAnsi"/>
                            <w:color w:val="00000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9B2171" w:rsidRPr="00674CC2" w14:paraId="263A977D" w14:textId="77777777" w:rsidTr="00674CC2">
                    <w:trPr>
                      <w:tblCellSpacing w:w="0" w:type="dxa"/>
                    </w:trPr>
                    <w:tc>
                      <w:tcPr>
                        <w:tcW w:w="3544" w:type="dxa"/>
                        <w:vAlign w:val="center"/>
                        <w:hideMark/>
                      </w:tcPr>
                      <w:p w14:paraId="75698220" w14:textId="77777777" w:rsidR="009B2171" w:rsidRPr="00674CC2" w:rsidRDefault="00855980" w:rsidP="009B2171">
                        <w:pPr>
                          <w:rPr>
                            <w:rFonts w:asciiTheme="majorHAnsi" w:hAnsiTheme="majorHAnsi"/>
                            <w:szCs w:val="24"/>
                            <w:lang w:eastAsia="en-AU"/>
                          </w:rPr>
                        </w:pPr>
                        <w:hyperlink r:id="rId8" w:tooltip="Click to send email to Narelle Mullan" w:history="1">
                          <w:r w:rsidR="009B2171" w:rsidRPr="00674CC2">
                            <w:rPr>
                              <w:rStyle w:val="Hyperlink"/>
                              <w:rFonts w:asciiTheme="majorHAnsi" w:hAnsiTheme="majorHAnsi"/>
                              <w:color w:val="000000"/>
                              <w:szCs w:val="20"/>
                              <w:lang w:eastAsia="en-AU"/>
                            </w:rPr>
                            <w:t>Narelle.Mullan@telethonkids.org.au</w:t>
                          </w:r>
                        </w:hyperlink>
                      </w:p>
                    </w:tc>
                    <w:tc>
                      <w:tcPr>
                        <w:tcW w:w="5" w:type="dxa"/>
                      </w:tcPr>
                      <w:p w14:paraId="6BB1FCC2" w14:textId="77777777" w:rsidR="009B2171" w:rsidRPr="00674CC2" w:rsidRDefault="009B2171" w:rsidP="009B2171">
                        <w:pPr>
                          <w:rPr>
                            <w:rFonts w:asciiTheme="majorHAnsi" w:hAnsiTheme="majorHAnsi"/>
                            <w:color w:val="000000"/>
                            <w:szCs w:val="20"/>
                            <w:u w:val="single"/>
                            <w:lang w:eastAsia="en-AU"/>
                          </w:rPr>
                        </w:pPr>
                      </w:p>
                    </w:tc>
                  </w:tr>
                </w:tbl>
                <w:p w14:paraId="30D25760" w14:textId="77777777" w:rsidR="009B2171" w:rsidRPr="00674CC2" w:rsidRDefault="009B2171">
                  <w:pPr>
                    <w:rPr>
                      <w:rFonts w:asciiTheme="majorHAnsi" w:hAnsiTheme="majorHAnsi"/>
                      <w:szCs w:val="24"/>
                      <w:lang w:eastAsia="en-AU"/>
                    </w:rPr>
                  </w:pPr>
                </w:p>
              </w:tc>
              <w:tc>
                <w:tcPr>
                  <w:tcW w:w="5595" w:type="dxa"/>
                  <w:hideMark/>
                </w:tcPr>
                <w:p w14:paraId="106EC3DC" w14:textId="77777777" w:rsidR="009B2171" w:rsidRPr="00674CC2" w:rsidRDefault="009B2171">
                  <w:pPr>
                    <w:rPr>
                      <w:rFonts w:asciiTheme="majorHAnsi" w:eastAsia="Times New Roman" w:hAnsiTheme="majorHAnsi"/>
                      <w:szCs w:val="20"/>
                      <w:lang w:eastAsia="en-AU"/>
                    </w:rPr>
                  </w:pPr>
                </w:p>
              </w:tc>
            </w:tr>
          </w:tbl>
          <w:p w14:paraId="6FC36987" w14:textId="77777777" w:rsidR="009B2171" w:rsidRPr="00674CC2" w:rsidRDefault="009B2171">
            <w:pPr>
              <w:spacing w:before="100" w:beforeAutospacing="1" w:after="100" w:afterAutospacing="1"/>
              <w:rPr>
                <w:rFonts w:asciiTheme="majorHAnsi" w:hAnsiTheme="majorHAnsi"/>
                <w:szCs w:val="24"/>
                <w:lang w:eastAsia="en-AU"/>
              </w:rPr>
            </w:pPr>
          </w:p>
        </w:tc>
      </w:tr>
      <w:tr w:rsidR="009B2171" w14:paraId="7B4EE9F3" w14:textId="77777777" w:rsidTr="009B217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7E1B64" w14:textId="77777777" w:rsidR="009B2171" w:rsidRPr="00674CC2" w:rsidRDefault="009B2171">
            <w:pPr>
              <w:rPr>
                <w:rFonts w:asciiTheme="majorHAnsi" w:hAnsiTheme="majorHAnsi"/>
                <w:color w:val="000000"/>
                <w:szCs w:val="20"/>
                <w:lang w:eastAsia="en-AU"/>
              </w:rPr>
            </w:pPr>
            <w:r w:rsidRPr="00674CC2">
              <w:rPr>
                <w:rFonts w:asciiTheme="majorHAnsi" w:hAnsiTheme="majorHAnsi"/>
                <w:color w:val="000000"/>
                <w:szCs w:val="20"/>
                <w:lang w:eastAsia="en-AU"/>
              </w:rPr>
              <w:t xml:space="preserve">100 Roberts Road, Subiaco, Western Australia, 6008 </w:t>
            </w:r>
            <w:r w:rsidRPr="00674CC2">
              <w:rPr>
                <w:rFonts w:asciiTheme="majorHAnsi" w:hAnsiTheme="majorHAnsi"/>
                <w:color w:val="000000"/>
                <w:szCs w:val="20"/>
                <w:lang w:eastAsia="en-AU"/>
              </w:rPr>
              <w:br/>
              <w:t xml:space="preserve">PO Box 855, West Perth, Western Australia, 6872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4"/>
              <w:gridCol w:w="182"/>
            </w:tblGrid>
            <w:tr w:rsidR="009B2171" w:rsidRPr="00674CC2" w14:paraId="622BA7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DAB17" w14:textId="77777777" w:rsidR="009B2171" w:rsidRPr="00674CC2" w:rsidRDefault="00855980">
                  <w:pPr>
                    <w:rPr>
                      <w:rFonts w:asciiTheme="majorHAnsi" w:hAnsiTheme="majorHAnsi"/>
                      <w:szCs w:val="24"/>
                      <w:lang w:eastAsia="en-AU"/>
                    </w:rPr>
                  </w:pPr>
                  <w:hyperlink r:id="rId9" w:history="1">
                    <w:r w:rsidR="009B2171" w:rsidRPr="00674CC2">
                      <w:rPr>
                        <w:rStyle w:val="Hyperlink"/>
                        <w:rFonts w:asciiTheme="majorHAnsi" w:hAnsiTheme="majorHAnsi"/>
                        <w:color w:val="0000FF"/>
                        <w:szCs w:val="20"/>
                        <w:lang w:eastAsia="en-AU"/>
                      </w:rPr>
                      <w:t>www.telethonkids.org.au </w:t>
                    </w:r>
                    <w:r w:rsidR="009B2171" w:rsidRPr="00674CC2">
                      <w:rPr>
                        <w:rFonts w:asciiTheme="majorHAnsi" w:hAnsiTheme="majorHAnsi"/>
                        <w:color w:val="0000FF"/>
                        <w:szCs w:val="20"/>
                        <w:u w:val="single"/>
                        <w:lang w:eastAsia="en-AU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C94A14" w14:textId="77777777" w:rsidR="009B2171" w:rsidRPr="00674CC2" w:rsidRDefault="009B2171">
                  <w:pPr>
                    <w:jc w:val="center"/>
                    <w:rPr>
                      <w:rFonts w:asciiTheme="majorHAnsi" w:hAnsiTheme="majorHAnsi"/>
                      <w:szCs w:val="24"/>
                      <w:lang w:eastAsia="en-AU"/>
                    </w:rPr>
                  </w:pPr>
                </w:p>
              </w:tc>
            </w:tr>
          </w:tbl>
          <w:p w14:paraId="3FD8CD75" w14:textId="77777777" w:rsidR="009B2171" w:rsidRPr="00674CC2" w:rsidRDefault="009B2171">
            <w:pPr>
              <w:spacing w:before="100" w:beforeAutospacing="1" w:after="100" w:afterAutospacing="1"/>
              <w:rPr>
                <w:rFonts w:asciiTheme="majorHAnsi" w:hAnsiTheme="majorHAnsi"/>
                <w:szCs w:val="24"/>
                <w:lang w:eastAsia="en-AU"/>
              </w:rPr>
            </w:pPr>
          </w:p>
        </w:tc>
      </w:tr>
    </w:tbl>
    <w:p w14:paraId="1D72176D" w14:textId="77777777" w:rsidR="009B2171" w:rsidRDefault="009B2171" w:rsidP="004C651E">
      <w:pPr>
        <w:spacing w:after="0" w:line="240" w:lineRule="auto"/>
        <w:rPr>
          <w:rFonts w:asciiTheme="majorHAnsi" w:hAnsiTheme="majorHAnsi" w:cs="Cambria,BoldItalic"/>
          <w:b/>
          <w:bCs/>
          <w:iCs/>
        </w:rPr>
      </w:pPr>
    </w:p>
    <w:p w14:paraId="3CF965B9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Cs/>
          <w:iCs/>
        </w:rPr>
      </w:pPr>
    </w:p>
    <w:p w14:paraId="46C03BBB" w14:textId="77777777" w:rsidR="004C651E" w:rsidRPr="004C651E" w:rsidRDefault="004C651E" w:rsidP="004C651E">
      <w:pPr>
        <w:spacing w:after="0" w:line="240" w:lineRule="auto"/>
        <w:rPr>
          <w:rFonts w:asciiTheme="majorHAnsi" w:hAnsiTheme="majorHAnsi" w:cs="Cambria,BoldItalic"/>
          <w:bCs/>
          <w:iCs/>
        </w:rPr>
      </w:pPr>
    </w:p>
    <w:p w14:paraId="57C04063" w14:textId="77777777" w:rsidR="00942271" w:rsidRDefault="00942271"/>
    <w:sectPr w:rsidR="00942271" w:rsidSect="00E74939"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3D688" w14:textId="77777777" w:rsidR="00855980" w:rsidRDefault="00855980" w:rsidP="00E74939">
      <w:pPr>
        <w:spacing w:after="0" w:line="240" w:lineRule="auto"/>
      </w:pPr>
      <w:r>
        <w:separator/>
      </w:r>
    </w:p>
  </w:endnote>
  <w:endnote w:type="continuationSeparator" w:id="0">
    <w:p w14:paraId="2FBBC81D" w14:textId="77777777" w:rsidR="00855980" w:rsidRDefault="00855980" w:rsidP="00E7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939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F5E3B" w14:textId="77777777" w:rsidR="00E74939" w:rsidRDefault="00E7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EB7BB" w14:textId="77777777" w:rsidR="00E74939" w:rsidRDefault="00E7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B5D9" w14:textId="77777777" w:rsidR="00855980" w:rsidRDefault="00855980" w:rsidP="00E74939">
      <w:pPr>
        <w:spacing w:after="0" w:line="240" w:lineRule="auto"/>
      </w:pPr>
      <w:r>
        <w:separator/>
      </w:r>
    </w:p>
  </w:footnote>
  <w:footnote w:type="continuationSeparator" w:id="0">
    <w:p w14:paraId="24109BE1" w14:textId="77777777" w:rsidR="00855980" w:rsidRDefault="00855980" w:rsidP="00E7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1736"/>
    <w:multiLevelType w:val="hybridMultilevel"/>
    <w:tmpl w:val="29BEC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5494"/>
    <w:multiLevelType w:val="hybridMultilevel"/>
    <w:tmpl w:val="DB9E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7E4A"/>
    <w:multiLevelType w:val="hybridMultilevel"/>
    <w:tmpl w:val="3E1880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C878B7"/>
    <w:multiLevelType w:val="hybridMultilevel"/>
    <w:tmpl w:val="8B16435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45739"/>
    <w:multiLevelType w:val="hybridMultilevel"/>
    <w:tmpl w:val="B8AC520E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77636E0B"/>
    <w:multiLevelType w:val="hybridMultilevel"/>
    <w:tmpl w:val="D362D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1E"/>
    <w:rsid w:val="000209BF"/>
    <w:rsid w:val="00124A75"/>
    <w:rsid w:val="001C095B"/>
    <w:rsid w:val="00236FDF"/>
    <w:rsid w:val="00241A44"/>
    <w:rsid w:val="0032306E"/>
    <w:rsid w:val="00350C65"/>
    <w:rsid w:val="00434707"/>
    <w:rsid w:val="00467D24"/>
    <w:rsid w:val="004910AF"/>
    <w:rsid w:val="004C651E"/>
    <w:rsid w:val="004D3725"/>
    <w:rsid w:val="00517E01"/>
    <w:rsid w:val="005351F8"/>
    <w:rsid w:val="005C65CB"/>
    <w:rsid w:val="00674CC2"/>
    <w:rsid w:val="0068632D"/>
    <w:rsid w:val="006D77C9"/>
    <w:rsid w:val="006F5F34"/>
    <w:rsid w:val="007A779C"/>
    <w:rsid w:val="007C7F36"/>
    <w:rsid w:val="00824A49"/>
    <w:rsid w:val="00855980"/>
    <w:rsid w:val="008A123B"/>
    <w:rsid w:val="008A1F6F"/>
    <w:rsid w:val="008F1AD7"/>
    <w:rsid w:val="00942271"/>
    <w:rsid w:val="009607B2"/>
    <w:rsid w:val="009657CD"/>
    <w:rsid w:val="0097452C"/>
    <w:rsid w:val="009B2171"/>
    <w:rsid w:val="00B3279B"/>
    <w:rsid w:val="00C5294D"/>
    <w:rsid w:val="00D47403"/>
    <w:rsid w:val="00DD26C1"/>
    <w:rsid w:val="00E74939"/>
    <w:rsid w:val="00E81479"/>
    <w:rsid w:val="00E9099F"/>
    <w:rsid w:val="00F25FFE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0A94"/>
  <w15:chartTrackingRefBased/>
  <w15:docId w15:val="{7F66BB3D-9D6D-4C03-BD0F-28868502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1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39"/>
  </w:style>
  <w:style w:type="paragraph" w:styleId="Footer">
    <w:name w:val="footer"/>
    <w:basedOn w:val="Normal"/>
    <w:link w:val="FooterChar"/>
    <w:uiPriority w:val="99"/>
    <w:unhideWhenUsed/>
    <w:rsid w:val="00E74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39"/>
  </w:style>
  <w:style w:type="character" w:styleId="CommentReference">
    <w:name w:val="annotation reference"/>
    <w:basedOn w:val="DefaultParagraphFont"/>
    <w:uiPriority w:val="99"/>
    <w:semiHidden/>
    <w:unhideWhenUsed/>
    <w:rsid w:val="0032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lle.Mullan@telethonkid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ethonki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Telethon Kids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Mullan</dc:creator>
  <cp:keywords/>
  <dc:description/>
  <cp:lastModifiedBy>Ben Andrews</cp:lastModifiedBy>
  <cp:revision>8</cp:revision>
  <dcterms:created xsi:type="dcterms:W3CDTF">2017-06-09T08:39:00Z</dcterms:created>
  <dcterms:modified xsi:type="dcterms:W3CDTF">2017-06-13T01:35:00Z</dcterms:modified>
</cp:coreProperties>
</file>